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00B27">
        <w:trPr>
          <w:trHeight w:val="270"/>
        </w:trPr>
        <w:tc>
          <w:tcPr>
            <w:tcW w:w="4133" w:type="dxa"/>
            <w:gridSpan w:val="2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</w:tcPr>
          <w:p w14:paraId="08B4F522" w14:textId="08F74C18" w:rsidR="00236608" w:rsidRPr="000C0B6C" w:rsidRDefault="00656143" w:rsidP="009A6B72">
            <w:r>
              <w:t>Londoño</w:t>
            </w:r>
          </w:p>
        </w:tc>
      </w:tr>
      <w:tr w:rsidR="00236608" w:rsidRPr="000C0B6C" w14:paraId="70478EC8" w14:textId="77777777" w:rsidTr="00D00B27">
        <w:trPr>
          <w:trHeight w:val="270"/>
        </w:trPr>
        <w:tc>
          <w:tcPr>
            <w:tcW w:w="4133" w:type="dxa"/>
            <w:gridSpan w:val="2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</w:tcPr>
          <w:p w14:paraId="618617AF" w14:textId="2B283A0F" w:rsidR="00236608" w:rsidRPr="000C0B6C" w:rsidRDefault="00656143" w:rsidP="009A6B72">
            <w:r>
              <w:t xml:space="preserve">Maria Carmelina </w:t>
            </w:r>
          </w:p>
        </w:tc>
      </w:tr>
      <w:tr w:rsidR="00236608" w:rsidRPr="000C0B6C" w14:paraId="60004B01" w14:textId="77777777" w:rsidTr="00D00B27">
        <w:trPr>
          <w:trHeight w:val="280"/>
        </w:trPr>
        <w:tc>
          <w:tcPr>
            <w:tcW w:w="4133" w:type="dxa"/>
            <w:gridSpan w:val="2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</w:tcPr>
          <w:p w14:paraId="44573104" w14:textId="74AB494C" w:rsidR="00236608" w:rsidRPr="000C0B6C" w:rsidRDefault="00773531" w:rsidP="009A6B72">
            <w:r>
              <w:t>Colombia</w:t>
            </w:r>
          </w:p>
        </w:tc>
      </w:tr>
      <w:tr w:rsidR="00236608" w:rsidRPr="000C0B6C" w14:paraId="41DAE210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</w:tcPr>
          <w:p w14:paraId="6DC88D1F" w14:textId="39CBBB49" w:rsidR="00236608" w:rsidRPr="000C0B6C" w:rsidRDefault="00656143" w:rsidP="009A6B72">
            <w:proofErr w:type="spellStart"/>
            <w:r>
              <w:t>Viceminister</w:t>
            </w:r>
            <w:proofErr w:type="spellEnd"/>
            <w:r>
              <w:t xml:space="preserve"> of Multilateral Affairs Ministry of Foreign Affairs</w:t>
            </w:r>
          </w:p>
        </w:tc>
      </w:tr>
      <w:tr w:rsidR="00236608" w:rsidRPr="000C0B6C" w14:paraId="19EAFF8D" w14:textId="77777777" w:rsidTr="00D00B27">
        <w:trPr>
          <w:trHeight w:val="280"/>
        </w:trPr>
        <w:tc>
          <w:tcPr>
            <w:tcW w:w="4133" w:type="dxa"/>
            <w:gridSpan w:val="2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</w:tcPr>
          <w:p w14:paraId="1BEACDEF" w14:textId="5A11CFF2" w:rsidR="00236608" w:rsidRPr="000C0B6C" w:rsidRDefault="00656143" w:rsidP="009A6B72">
            <w:r w:rsidRPr="00656143">
              <w:t>Calle 10 No. 5 – 51</w:t>
            </w:r>
          </w:p>
        </w:tc>
      </w:tr>
      <w:tr w:rsidR="00236608" w:rsidRPr="000C0B6C" w14:paraId="3310BC30" w14:textId="77777777" w:rsidTr="00D00B27">
        <w:trPr>
          <w:trHeight w:val="270"/>
        </w:trPr>
        <w:tc>
          <w:tcPr>
            <w:tcW w:w="4133" w:type="dxa"/>
            <w:gridSpan w:val="2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</w:tcPr>
          <w:p w14:paraId="160AB00E" w14:textId="11459BC5" w:rsidR="00236608" w:rsidRPr="000C0B6C" w:rsidRDefault="00656143" w:rsidP="009A6B72">
            <w:r>
              <w:t>Bogota</w:t>
            </w:r>
          </w:p>
        </w:tc>
      </w:tr>
      <w:tr w:rsidR="00236608" w:rsidRPr="000C0B6C" w14:paraId="0303D967" w14:textId="77777777" w:rsidTr="00D00B27">
        <w:trPr>
          <w:trHeight w:val="280"/>
        </w:trPr>
        <w:tc>
          <w:tcPr>
            <w:tcW w:w="4133" w:type="dxa"/>
            <w:gridSpan w:val="2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</w:tcPr>
          <w:p w14:paraId="213ED87C" w14:textId="705E679E" w:rsidR="00236608" w:rsidRPr="000C0B6C" w:rsidRDefault="00656143" w:rsidP="009A6B72">
            <w:r>
              <w:t>Colombia</w:t>
            </w:r>
          </w:p>
        </w:tc>
      </w:tr>
      <w:tr w:rsidR="00236608" w:rsidRPr="000C0B6C" w14:paraId="1112C88B" w14:textId="77777777" w:rsidTr="00D00B27">
        <w:trPr>
          <w:trHeight w:val="270"/>
        </w:trPr>
        <w:tc>
          <w:tcPr>
            <w:tcW w:w="4133" w:type="dxa"/>
            <w:gridSpan w:val="2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656143">
        <w:trPr>
          <w:trHeight w:val="98"/>
        </w:trPr>
        <w:tc>
          <w:tcPr>
            <w:tcW w:w="4133" w:type="dxa"/>
            <w:gridSpan w:val="2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</w:tcPr>
          <w:p w14:paraId="6D5B5A6E" w14:textId="127A79E6" w:rsidR="00236608" w:rsidRPr="000C0B6C" w:rsidRDefault="00656143" w:rsidP="009A6B72">
            <w:r>
              <w:t xml:space="preserve">+57 601 </w:t>
            </w:r>
            <w:r w:rsidRPr="00656143">
              <w:t>381 4000, Ext: 1642</w:t>
            </w:r>
          </w:p>
        </w:tc>
      </w:tr>
      <w:tr w:rsidR="00236608" w:rsidRPr="000C0B6C" w14:paraId="7C74835B" w14:textId="77777777" w:rsidTr="00D00B27">
        <w:trPr>
          <w:trHeight w:val="233"/>
        </w:trPr>
        <w:tc>
          <w:tcPr>
            <w:tcW w:w="4133" w:type="dxa"/>
            <w:gridSpan w:val="2"/>
          </w:tcPr>
          <w:p w14:paraId="45DEDB26" w14:textId="77777777" w:rsidR="00236608" w:rsidRPr="000C0B6C" w:rsidRDefault="00236608" w:rsidP="009A6B72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</w:tcPr>
          <w:p w14:paraId="58A5DA1C" w14:textId="0A1EE788" w:rsidR="00656143" w:rsidRDefault="00656143" w:rsidP="009A6B72">
            <w:r w:rsidRPr="00656143">
              <w:t>paula.sanmiguel@cancilleria.gov.co</w:t>
            </w:r>
          </w:p>
          <w:p w14:paraId="118A29DB" w14:textId="637D4AA7" w:rsidR="00236608" w:rsidRPr="000C0B6C" w:rsidRDefault="00656143" w:rsidP="009A6B72">
            <w:r w:rsidRPr="00656143">
              <w:t>sebastian.acosta@cancilleria.gov.co</w:t>
            </w:r>
          </w:p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435C57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3C762A26" w:rsidR="00414EDF" w:rsidRDefault="00414EDF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3A5641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on the structure of the </w:t>
            </w:r>
            <w:r w:rsidR="003A5641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1C3BD9EF" w14:textId="0C8565CF" w:rsidR="00EB0322" w:rsidRDefault="00EB0322" w:rsidP="003A5641">
            <w:pPr>
              <w:rPr>
                <w:sz w:val="22"/>
                <w:szCs w:val="22"/>
              </w:rPr>
            </w:pPr>
          </w:p>
          <w:p w14:paraId="749F627B" w14:textId="0FF32B7E" w:rsidR="00EB0322" w:rsidRPr="00EB0322" w:rsidRDefault="00EB0322" w:rsidP="003A5641">
            <w:pPr>
              <w:rPr>
                <w:sz w:val="22"/>
                <w:szCs w:val="22"/>
                <w:u w:val="single"/>
              </w:rPr>
            </w:pPr>
            <w:r w:rsidRPr="00EB0322">
              <w:rPr>
                <w:sz w:val="22"/>
                <w:szCs w:val="22"/>
                <w:u w:val="single"/>
              </w:rPr>
              <w:t>Introduction to the template</w:t>
            </w:r>
          </w:p>
          <w:p w14:paraId="208E2098" w14:textId="4C61EA51" w:rsidR="00EB0322" w:rsidRDefault="00EB0322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</w:t>
            </w:r>
            <w:r w:rsidR="000E256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2</w:t>
            </w:r>
            <w:r w:rsidR="000E2569">
              <w:rPr>
                <w:sz w:val="22"/>
                <w:szCs w:val="22"/>
              </w:rPr>
              <w:t xml:space="preserve"> and 3</w:t>
            </w:r>
            <w:r>
              <w:rPr>
                <w:sz w:val="22"/>
                <w:szCs w:val="22"/>
              </w:rPr>
              <w:t xml:space="preserve">: </w:t>
            </w:r>
          </w:p>
          <w:p w14:paraId="73D2AA7E" w14:textId="63671405" w:rsidR="00EB0322" w:rsidRDefault="00EB0322" w:rsidP="00014E0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7</w:t>
            </w:r>
            <w:proofErr w:type="gramStart"/>
            <w:r w:rsidRPr="00EB0322">
              <w:rPr>
                <w:sz w:val="22"/>
                <w:szCs w:val="22"/>
                <w:vertAlign w:val="superscript"/>
              </w:rPr>
              <w:t>th</w:t>
            </w:r>
            <w:r w:rsidR="000E2569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2569">
              <w:rPr>
                <w:sz w:val="22"/>
                <w:szCs w:val="22"/>
              </w:rPr>
              <w:t>and</w:t>
            </w:r>
            <w:proofErr w:type="gramEnd"/>
            <w:r w:rsidR="000E2569">
              <w:rPr>
                <w:sz w:val="22"/>
                <w:szCs w:val="22"/>
              </w:rPr>
              <w:t xml:space="preserve"> 8</w:t>
            </w:r>
            <w:r w:rsidR="000E2569" w:rsidRPr="000E2569">
              <w:rPr>
                <w:sz w:val="22"/>
                <w:szCs w:val="22"/>
                <w:vertAlign w:val="superscript"/>
              </w:rPr>
              <w:t>th</w:t>
            </w:r>
            <w:r w:rsidR="000E2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 reports should provide assessment</w:t>
            </w:r>
            <w:r w:rsidR="000E256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progress made towards the national ambition established in the updated NBSAPs or targets</w:t>
            </w:r>
            <w:r w:rsidR="00DE27B2">
              <w:rPr>
                <w:sz w:val="22"/>
                <w:szCs w:val="22"/>
              </w:rPr>
              <w:t xml:space="preserve"> and their contribution to meeting the GBF. </w:t>
            </w:r>
            <w:proofErr w:type="gramStart"/>
            <w:r w:rsidR="00DE27B2">
              <w:rPr>
                <w:sz w:val="22"/>
                <w:szCs w:val="22"/>
              </w:rPr>
              <w:t>Therefore</w:t>
            </w:r>
            <w:proofErr w:type="gramEnd"/>
            <w:r w:rsidR="00DE27B2">
              <w:rPr>
                <w:sz w:val="22"/>
                <w:szCs w:val="22"/>
              </w:rPr>
              <w:t xml:space="preserve"> the scope of these reports should not be primarily</w:t>
            </w:r>
            <w:r w:rsidR="000E2569">
              <w:rPr>
                <w:sz w:val="22"/>
                <w:szCs w:val="22"/>
              </w:rPr>
              <w:t xml:space="preserve"> the</w:t>
            </w:r>
            <w:r w:rsidR="00DE27B2">
              <w:rPr>
                <w:sz w:val="22"/>
                <w:szCs w:val="22"/>
              </w:rPr>
              <w:t xml:space="preserve"> overall progress towards the GBF since this would be the task of the Global Stocktake. </w:t>
            </w:r>
          </w:p>
          <w:p w14:paraId="0477E18E" w14:textId="653A9D0D" w:rsidR="000E2569" w:rsidRDefault="00975317" w:rsidP="00014E0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7</w:t>
            </w:r>
            <w:proofErr w:type="gramStart"/>
            <w:r w:rsidRPr="00EB032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and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0E25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national reports should</w:t>
            </w:r>
            <w:r w:rsidR="00F83C1C">
              <w:rPr>
                <w:sz w:val="22"/>
                <w:szCs w:val="22"/>
              </w:rPr>
              <w:t xml:space="preserve"> </w:t>
            </w:r>
            <w:r w:rsidR="00A238BE">
              <w:rPr>
                <w:sz w:val="22"/>
                <w:szCs w:val="22"/>
              </w:rPr>
              <w:t xml:space="preserve">include also information on the actions taken to implement other related conventions </w:t>
            </w:r>
            <w:r w:rsidR="00CA5965">
              <w:rPr>
                <w:sz w:val="22"/>
                <w:szCs w:val="22"/>
              </w:rPr>
              <w:t>in</w:t>
            </w:r>
            <w:r w:rsidR="00A238BE">
              <w:rPr>
                <w:sz w:val="22"/>
                <w:szCs w:val="22"/>
              </w:rPr>
              <w:t xml:space="preserve"> order to report under a synergistic approach. Therefore, actions under the Ramsar, Desertification, CITES, and Climate Change conventions and the SDGs cold be reported, as contributions to meeting the GBF. </w:t>
            </w:r>
          </w:p>
          <w:p w14:paraId="30C57FB4" w14:textId="4C6ECF19" w:rsidR="008C3CD3" w:rsidRDefault="008C3CD3" w:rsidP="00014E0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fully support the use of headline indicators, and others, to enable the </w:t>
            </w:r>
            <w:r w:rsidR="005A54A9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lobal Stocktake. However, it’s important to </w:t>
            </w:r>
            <w:proofErr w:type="gramStart"/>
            <w:r>
              <w:rPr>
                <w:sz w:val="22"/>
                <w:szCs w:val="22"/>
              </w:rPr>
              <w:t>take into account</w:t>
            </w:r>
            <w:proofErr w:type="gramEnd"/>
            <w:r>
              <w:rPr>
                <w:sz w:val="22"/>
                <w:szCs w:val="22"/>
              </w:rPr>
              <w:t xml:space="preserve"> that headline indicators for national reports should </w:t>
            </w:r>
            <w:r>
              <w:rPr>
                <w:sz w:val="22"/>
                <w:szCs w:val="22"/>
              </w:rPr>
              <w:lastRenderedPageBreak/>
              <w:t>be ready to use by Parties</w:t>
            </w:r>
            <w:r w:rsidR="005A54A9">
              <w:rPr>
                <w:sz w:val="22"/>
                <w:szCs w:val="22"/>
              </w:rPr>
              <w:t xml:space="preserve"> taking into account that the responsibility to report is for national governments according to Art. 26 of the Convention. </w:t>
            </w:r>
          </w:p>
          <w:p w14:paraId="18895095" w14:textId="73E888A3" w:rsidR="00FF6D63" w:rsidRPr="005D2880" w:rsidRDefault="002159C7" w:rsidP="005D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 4:</w:t>
            </w:r>
          </w:p>
          <w:p w14:paraId="3E5E1435" w14:textId="7696F6DC" w:rsidR="002159C7" w:rsidRDefault="00043D39" w:rsidP="00EB2FB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important that the 7</w:t>
            </w:r>
            <w:proofErr w:type="gramStart"/>
            <w:r w:rsidRPr="00EB032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and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0E25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national reports</w:t>
            </w:r>
            <w:r w:rsidR="00305397">
              <w:rPr>
                <w:sz w:val="22"/>
                <w:szCs w:val="22"/>
              </w:rPr>
              <w:t xml:space="preserve"> include financial reporting, but a specific reference needs to be added referring to </w:t>
            </w:r>
            <w:r w:rsidR="00894894">
              <w:rPr>
                <w:sz w:val="22"/>
                <w:szCs w:val="22"/>
              </w:rPr>
              <w:t xml:space="preserve">undertaking the financial reporting considering the mobilization of resources from all sources, as well as in accordance with Art. 20 of the Convention. </w:t>
            </w:r>
            <w:r w:rsidR="00EB2FBB">
              <w:rPr>
                <w:sz w:val="22"/>
                <w:szCs w:val="22"/>
              </w:rPr>
              <w:t xml:space="preserve">Developed country Parties should report on progress towards meeting obligations derived from Art. </w:t>
            </w:r>
            <w:proofErr w:type="gramStart"/>
            <w:r w:rsidR="00EB2FBB">
              <w:rPr>
                <w:sz w:val="22"/>
                <w:szCs w:val="22"/>
              </w:rPr>
              <w:t>20.2, and</w:t>
            </w:r>
            <w:proofErr w:type="gramEnd"/>
            <w:r w:rsidR="00EB2FBB">
              <w:rPr>
                <w:sz w:val="22"/>
                <w:szCs w:val="22"/>
              </w:rPr>
              <w:t xml:space="preserve"> </w:t>
            </w:r>
            <w:r w:rsidR="00D452C7">
              <w:rPr>
                <w:sz w:val="22"/>
                <w:szCs w:val="22"/>
              </w:rPr>
              <w:t xml:space="preserve">developing country Parties should also report on the efficient use of resources and remaining gaps to be filled with resources from all sources. </w:t>
            </w:r>
          </w:p>
          <w:p w14:paraId="68B23115" w14:textId="25314DD8" w:rsidR="00FF6D63" w:rsidRDefault="00FF6D63" w:rsidP="00FF6D63">
            <w:pPr>
              <w:jc w:val="both"/>
              <w:rPr>
                <w:sz w:val="22"/>
                <w:szCs w:val="22"/>
              </w:rPr>
            </w:pPr>
          </w:p>
          <w:p w14:paraId="4F6EE38F" w14:textId="193DE56B" w:rsidR="00FF6D63" w:rsidRPr="00FF6D63" w:rsidRDefault="00FF6D63" w:rsidP="00FF6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 5:</w:t>
            </w:r>
          </w:p>
          <w:p w14:paraId="743680EB" w14:textId="39CA3F49" w:rsidR="00620946" w:rsidRDefault="00620946" w:rsidP="00EB2FB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fully support the integration of the synchronization of the reports of the Convention and its Protocols</w:t>
            </w:r>
            <w:r w:rsidR="004728C3">
              <w:rPr>
                <w:sz w:val="22"/>
                <w:szCs w:val="22"/>
              </w:rPr>
              <w:t xml:space="preserve">, </w:t>
            </w:r>
            <w:r w:rsidR="00870C9A">
              <w:rPr>
                <w:sz w:val="22"/>
                <w:szCs w:val="22"/>
              </w:rPr>
              <w:t>the</w:t>
            </w:r>
            <w:r w:rsidR="004728C3">
              <w:rPr>
                <w:sz w:val="22"/>
                <w:szCs w:val="22"/>
              </w:rPr>
              <w:t xml:space="preserve"> multistakeholder involvement in the preparation of national reports</w:t>
            </w:r>
            <w:r w:rsidR="00870C9A">
              <w:rPr>
                <w:sz w:val="22"/>
                <w:szCs w:val="22"/>
              </w:rPr>
              <w:t>, as well as the report on actions undertaken by non-state actors to contribute to the implementation of NBSAPs.</w:t>
            </w:r>
          </w:p>
          <w:p w14:paraId="1EEA9F93" w14:textId="45713FEB" w:rsidR="00F446B4" w:rsidRDefault="00F446B4" w:rsidP="00F446B4">
            <w:pPr>
              <w:jc w:val="both"/>
              <w:rPr>
                <w:sz w:val="22"/>
                <w:szCs w:val="22"/>
              </w:rPr>
            </w:pPr>
          </w:p>
          <w:p w14:paraId="407BAD6B" w14:textId="3AB9916A" w:rsidR="00F446B4" w:rsidRDefault="00F446B4" w:rsidP="00F44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 7:</w:t>
            </w:r>
          </w:p>
          <w:p w14:paraId="7C0C7016" w14:textId="480A8DE2" w:rsidR="00F446B4" w:rsidRDefault="00B37D87" w:rsidP="004961E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structure of the 7</w:t>
            </w:r>
            <w:proofErr w:type="gramStart"/>
            <w:r w:rsidRPr="00EB032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and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 w:rsidRPr="000E25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national reports should include a section on national circumstances referring to</w:t>
            </w:r>
            <w:r w:rsidR="004961E1">
              <w:rPr>
                <w:sz w:val="22"/>
                <w:szCs w:val="22"/>
              </w:rPr>
              <w:t>, among others, critical information to understand</w:t>
            </w:r>
            <w:r w:rsidR="00045219">
              <w:rPr>
                <w:sz w:val="22"/>
                <w:szCs w:val="22"/>
              </w:rPr>
              <w:t xml:space="preserve"> national biodiversity status and potential to deliver global environmental benefits though </w:t>
            </w:r>
            <w:r w:rsidR="009D6F21">
              <w:rPr>
                <w:sz w:val="22"/>
                <w:szCs w:val="22"/>
              </w:rPr>
              <w:t>the</w:t>
            </w:r>
            <w:r w:rsidR="00045219">
              <w:rPr>
                <w:sz w:val="22"/>
                <w:szCs w:val="22"/>
              </w:rPr>
              <w:t xml:space="preserve"> conservation</w:t>
            </w:r>
            <w:r w:rsidR="009D6F21">
              <w:rPr>
                <w:sz w:val="22"/>
                <w:szCs w:val="22"/>
              </w:rPr>
              <w:t xml:space="preserve"> and sustainable use of biodiversity and ecosystem services. </w:t>
            </w:r>
            <w:r w:rsidR="009F3020">
              <w:rPr>
                <w:sz w:val="22"/>
                <w:szCs w:val="22"/>
              </w:rPr>
              <w:t>Even if Section</w:t>
            </w:r>
            <w:r w:rsidR="00147758">
              <w:rPr>
                <w:sz w:val="22"/>
                <w:szCs w:val="22"/>
              </w:rPr>
              <w:t xml:space="preserve"> I</w:t>
            </w:r>
            <w:r w:rsidR="009F3020">
              <w:rPr>
                <w:sz w:val="22"/>
                <w:szCs w:val="22"/>
              </w:rPr>
              <w:t xml:space="preserve"> (Executive Summary) includes a section on</w:t>
            </w:r>
            <w:r w:rsidR="00147758">
              <w:rPr>
                <w:sz w:val="22"/>
                <w:szCs w:val="22"/>
              </w:rPr>
              <w:t xml:space="preserve"> changes observed in the status and trends of biodiversity of actions taken or progress made, </w:t>
            </w:r>
            <w:r w:rsidR="00A262C2">
              <w:rPr>
                <w:sz w:val="22"/>
                <w:szCs w:val="22"/>
              </w:rPr>
              <w:t>only 300 to 500 words are suggested for this description, therefore a longer section could be dedicated for a more comprehensive, in-depth description, especially</w:t>
            </w:r>
            <w:r w:rsidR="007C1FD2">
              <w:rPr>
                <w:sz w:val="22"/>
                <w:szCs w:val="22"/>
              </w:rPr>
              <w:t xml:space="preserve"> in the light of the post 2020 GBF, in particular</w:t>
            </w:r>
            <w:r w:rsidR="00A262C2">
              <w:rPr>
                <w:sz w:val="22"/>
                <w:szCs w:val="22"/>
              </w:rPr>
              <w:t xml:space="preserve"> for the 7</w:t>
            </w:r>
            <w:r w:rsidR="00A262C2" w:rsidRPr="00A262C2">
              <w:rPr>
                <w:sz w:val="22"/>
                <w:szCs w:val="22"/>
                <w:vertAlign w:val="superscript"/>
              </w:rPr>
              <w:t>th</w:t>
            </w:r>
            <w:r w:rsidR="00A262C2">
              <w:rPr>
                <w:sz w:val="22"/>
                <w:szCs w:val="22"/>
              </w:rPr>
              <w:t xml:space="preserve"> national report which would be the first report of progress for the GBF. </w:t>
            </w:r>
          </w:p>
          <w:p w14:paraId="0F5CC58B" w14:textId="77777777" w:rsidR="00B93346" w:rsidRDefault="00610682" w:rsidP="004961E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additional Section should be dedicated to reporting on </w:t>
            </w:r>
            <w:r w:rsidR="000A5B17">
              <w:rPr>
                <w:sz w:val="22"/>
                <w:szCs w:val="22"/>
              </w:rPr>
              <w:t xml:space="preserve">the implementation of </w:t>
            </w:r>
            <w:r>
              <w:rPr>
                <w:sz w:val="22"/>
                <w:szCs w:val="22"/>
              </w:rPr>
              <w:t>sections</w:t>
            </w:r>
            <w:r w:rsidR="000A5B17">
              <w:rPr>
                <w:sz w:val="22"/>
                <w:szCs w:val="22"/>
              </w:rPr>
              <w:t xml:space="preserve"> </w:t>
            </w:r>
            <w:proofErr w:type="spellStart"/>
            <w:r w:rsidR="000A5B17">
              <w:rPr>
                <w:sz w:val="22"/>
                <w:szCs w:val="22"/>
              </w:rPr>
              <w:t>B.bis</w:t>
            </w:r>
            <w:proofErr w:type="spellEnd"/>
            <w:r w:rsidR="000A5B17">
              <w:rPr>
                <w:sz w:val="22"/>
                <w:szCs w:val="22"/>
              </w:rPr>
              <w:t>, and</w:t>
            </w:r>
            <w:r>
              <w:rPr>
                <w:sz w:val="22"/>
                <w:szCs w:val="22"/>
              </w:rPr>
              <w:t xml:space="preserve"> H to K included in the GBF</w:t>
            </w:r>
            <w:r w:rsidR="000A5B17">
              <w:rPr>
                <w:sz w:val="22"/>
                <w:szCs w:val="22"/>
              </w:rPr>
              <w:t xml:space="preserve">. </w:t>
            </w:r>
          </w:p>
          <w:p w14:paraId="57F1E5DA" w14:textId="4D3DD798" w:rsidR="00610682" w:rsidRDefault="00BA59A7" w:rsidP="004961E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Annex should include</w:t>
            </w:r>
            <w:r w:rsidR="00B93346">
              <w:rPr>
                <w:sz w:val="22"/>
                <w:szCs w:val="22"/>
              </w:rPr>
              <w:t xml:space="preserve"> reporting on the different plans of action which will be adopted at COP15 as complementary to the GBF, such as: the Gender Post 2020 Plan of Action, the Subnational Governments Plan of Action, the Mainstreaming Plan of Action, and the Health Plan of Action. </w:t>
            </w:r>
            <w:r w:rsidR="004F2963">
              <w:rPr>
                <w:sz w:val="22"/>
                <w:szCs w:val="22"/>
              </w:rPr>
              <w:t xml:space="preserve">The Annex should also be open for the inclusion of other information relevant for National Parties to complement the previous sections. </w:t>
            </w:r>
          </w:p>
          <w:p w14:paraId="5884C19A" w14:textId="77777777" w:rsidR="00FF6D63" w:rsidRPr="00F446B4" w:rsidRDefault="00FF6D63" w:rsidP="005D2880">
            <w:pPr>
              <w:pStyle w:val="Prrafodelista"/>
              <w:jc w:val="both"/>
              <w:rPr>
                <w:sz w:val="22"/>
                <w:szCs w:val="22"/>
              </w:rPr>
            </w:pPr>
          </w:p>
          <w:p w14:paraId="27B0EBBB" w14:textId="3F53BB3D" w:rsidR="005D2880" w:rsidRDefault="005D2880" w:rsidP="002A3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 10:</w:t>
            </w:r>
          </w:p>
          <w:p w14:paraId="0A42D926" w14:textId="2D367820" w:rsidR="005D2880" w:rsidRDefault="005D2880" w:rsidP="002A3C58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Paragraphs 10(a) and 10(b) seem to duplicate. The difference between a mid-term and final review of the GBF implementation and the Global Stocktake is not clear. Both paragraphs seem to refer to the same analysis.</w:t>
            </w:r>
          </w:p>
          <w:p w14:paraId="1DAB26FD" w14:textId="5B8F0C34" w:rsidR="00435C57" w:rsidRDefault="00435C57" w:rsidP="002A3C58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35C57">
              <w:rPr>
                <w:sz w:val="22"/>
                <w:szCs w:val="22"/>
              </w:rPr>
              <w:t>P</w:t>
            </w:r>
            <w:r w:rsidR="002A3C58">
              <w:rPr>
                <w:sz w:val="22"/>
                <w:szCs w:val="22"/>
              </w:rPr>
              <w:t>a</w:t>
            </w:r>
            <w:r w:rsidRPr="00435C57">
              <w:rPr>
                <w:sz w:val="22"/>
                <w:szCs w:val="22"/>
              </w:rPr>
              <w:t>ragraph 10(e) c</w:t>
            </w:r>
            <w:r w:rsidR="002A3C58">
              <w:rPr>
                <w:sz w:val="22"/>
                <w:szCs w:val="22"/>
              </w:rPr>
              <w:t>oul</w:t>
            </w:r>
            <w:r w:rsidRPr="00435C57">
              <w:rPr>
                <w:sz w:val="22"/>
                <w:szCs w:val="22"/>
              </w:rPr>
              <w:t>d refer not only to strategic p</w:t>
            </w:r>
            <w:r>
              <w:rPr>
                <w:sz w:val="22"/>
                <w:szCs w:val="22"/>
              </w:rPr>
              <w:t xml:space="preserve">lans of other MEA’s but also to commitments or goals sin not </w:t>
            </w:r>
            <w:proofErr w:type="gramStart"/>
            <w:r>
              <w:rPr>
                <w:sz w:val="22"/>
                <w:szCs w:val="22"/>
              </w:rPr>
              <w:t>all of</w:t>
            </w:r>
            <w:proofErr w:type="gramEnd"/>
            <w:r>
              <w:rPr>
                <w:sz w:val="22"/>
                <w:szCs w:val="22"/>
              </w:rPr>
              <w:t xml:space="preserve"> MEAs may have strategic plans as such.</w:t>
            </w:r>
          </w:p>
          <w:p w14:paraId="19D4000F" w14:textId="71D1B301" w:rsidR="004473BD" w:rsidRDefault="004473BD" w:rsidP="004473BD">
            <w:pPr>
              <w:jc w:val="both"/>
              <w:rPr>
                <w:sz w:val="22"/>
                <w:szCs w:val="22"/>
              </w:rPr>
            </w:pPr>
          </w:p>
          <w:p w14:paraId="1E5CC538" w14:textId="426CB072" w:rsidR="004473BD" w:rsidRDefault="004473BD" w:rsidP="0044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 12:</w:t>
            </w:r>
          </w:p>
          <w:p w14:paraId="58DD0F4E" w14:textId="548F1B0B" w:rsidR="00AE7B80" w:rsidRPr="00052C30" w:rsidRDefault="004473BD" w:rsidP="003A564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fully support the utilization of </w:t>
            </w:r>
            <w:proofErr w:type="spellStart"/>
            <w:r>
              <w:rPr>
                <w:sz w:val="22"/>
                <w:szCs w:val="22"/>
              </w:rPr>
              <w:t>DaRT</w:t>
            </w:r>
            <w:proofErr w:type="spellEnd"/>
            <w:r>
              <w:rPr>
                <w:sz w:val="22"/>
                <w:szCs w:val="22"/>
              </w:rPr>
              <w:t xml:space="preserve"> as a tool to promote synergies in reporting. </w:t>
            </w:r>
          </w:p>
          <w:p w14:paraId="1C5D113D" w14:textId="7BB7E51A" w:rsidR="00AE7B80" w:rsidRPr="00435C57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526A7443" w14:textId="77777777" w:rsidR="00AE7B80" w:rsidRDefault="00AE7B80" w:rsidP="008A6047"/>
          <w:p w14:paraId="00426BC3" w14:textId="6A1212DC" w:rsidR="00AE7B80" w:rsidRPr="000C0B6C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23C1A3D9" w:rsidR="000E6341" w:rsidRPr="000C0B6C" w:rsidRDefault="000E6341" w:rsidP="009A6B72">
            <w:r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8454" w:type="dxa"/>
            <w:gridSpan w:val="2"/>
          </w:tcPr>
          <w:p w14:paraId="3283D23A" w14:textId="50BB1F92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35B6F676" w14:textId="4719DF37" w:rsidR="00111BF9" w:rsidRDefault="00111BF9" w:rsidP="008A6047">
            <w:pPr>
              <w:rPr>
                <w:sz w:val="22"/>
                <w:szCs w:val="22"/>
              </w:rPr>
            </w:pPr>
          </w:p>
          <w:p w14:paraId="46950C5C" w14:textId="6440E64C" w:rsidR="00111BF9" w:rsidRDefault="00111BF9" w:rsidP="008A60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Taking into account</w:t>
            </w:r>
            <w:proofErr w:type="gramEnd"/>
            <w:r>
              <w:rPr>
                <w:sz w:val="22"/>
                <w:szCs w:val="22"/>
              </w:rPr>
              <w:t xml:space="preserve"> that the 7</w:t>
            </w:r>
            <w:r w:rsidRPr="00111BF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National Report will be the first report to use headline indicators, </w:t>
            </w:r>
            <w:r w:rsidR="00081009">
              <w:rPr>
                <w:sz w:val="22"/>
                <w:szCs w:val="22"/>
              </w:rPr>
              <w:t xml:space="preserve">this section should also provide Parties with an opportunity to </w:t>
            </w:r>
            <w:r w:rsidR="0026035D">
              <w:rPr>
                <w:sz w:val="22"/>
                <w:szCs w:val="22"/>
              </w:rPr>
              <w:t xml:space="preserve">explain obstacles and challenges in the preparation of the report, as well as gaps in capacities and opportunities for improvement for future national reports. </w:t>
            </w:r>
          </w:p>
          <w:p w14:paraId="4D67C78F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655ECA9E" w:rsidR="000E6341" w:rsidRPr="000C0B6C" w:rsidRDefault="000E6341" w:rsidP="009A6B72">
            <w:r>
              <w:t>III</w:t>
            </w:r>
          </w:p>
        </w:tc>
        <w:tc>
          <w:tcPr>
            <w:tcW w:w="8454" w:type="dxa"/>
            <w:gridSpan w:val="2"/>
          </w:tcPr>
          <w:p w14:paraId="6A94E0CB" w14:textId="0597E231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III.</w:t>
            </w:r>
            <w:r w:rsidRPr="008A6047">
              <w:rPr>
                <w:sz w:val="22"/>
                <w:szCs w:val="22"/>
              </w:rPr>
              <w:tab/>
              <w:t xml:space="preserve">Status of the updated or revised NBSAP in the light of the post-2020 global biodiversity framework (This section is for the seventh national report only) </w:t>
            </w:r>
          </w:p>
          <w:p w14:paraId="2ECD188A" w14:textId="0D333C74" w:rsidR="00434D7D" w:rsidRDefault="00434D7D" w:rsidP="008A6047">
            <w:pPr>
              <w:rPr>
                <w:sz w:val="22"/>
                <w:szCs w:val="22"/>
              </w:rPr>
            </w:pPr>
          </w:p>
          <w:p w14:paraId="01A2EB36" w14:textId="17C0AC48" w:rsidR="00434D7D" w:rsidRDefault="00434D7D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wording “national ambition or targets” is not clear, </w:t>
            </w:r>
            <w:proofErr w:type="gramStart"/>
            <w:r>
              <w:rPr>
                <w:sz w:val="22"/>
                <w:szCs w:val="22"/>
              </w:rPr>
              <w:t>taking into account</w:t>
            </w:r>
            <w:proofErr w:type="gramEnd"/>
            <w:r>
              <w:rPr>
                <w:sz w:val="22"/>
                <w:szCs w:val="22"/>
              </w:rPr>
              <w:t xml:space="preserve"> that targets may well reflect the level of ambition of Parties. A better wording could be “Has submitted updated NBSAPs or Targets”</w:t>
            </w:r>
            <w:r w:rsidR="00691274">
              <w:rPr>
                <w:sz w:val="22"/>
                <w:szCs w:val="22"/>
              </w:rPr>
              <w:t>.</w:t>
            </w:r>
          </w:p>
          <w:p w14:paraId="559DFC8E" w14:textId="1AB3A21A" w:rsidR="00691274" w:rsidRDefault="00691274" w:rsidP="008A6047">
            <w:pPr>
              <w:rPr>
                <w:sz w:val="22"/>
                <w:szCs w:val="22"/>
              </w:rPr>
            </w:pPr>
          </w:p>
          <w:p w14:paraId="785E88CC" w14:textId="546EC269" w:rsidR="009F2232" w:rsidRDefault="009F2232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section should also include the possibilities for Parties which have not been able to </w:t>
            </w:r>
            <w:r w:rsidR="00F615C0">
              <w:rPr>
                <w:sz w:val="22"/>
                <w:szCs w:val="22"/>
              </w:rPr>
              <w:t>update NBSAPs or Biodiversity Action Plans</w:t>
            </w:r>
            <w:r w:rsidR="008021C0">
              <w:rPr>
                <w:sz w:val="22"/>
                <w:szCs w:val="22"/>
              </w:rPr>
              <w:t xml:space="preserve"> to describe the challenges which have impeded the update process. </w:t>
            </w:r>
          </w:p>
          <w:p w14:paraId="66C248CE" w14:textId="77777777" w:rsidR="00691274" w:rsidRDefault="00691274" w:rsidP="008A6047">
            <w:pPr>
              <w:rPr>
                <w:sz w:val="22"/>
                <w:szCs w:val="22"/>
              </w:rPr>
            </w:pPr>
          </w:p>
          <w:p w14:paraId="22CF89F4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5F267497" w14:textId="6C80C341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t>IV</w:t>
            </w:r>
          </w:p>
        </w:tc>
        <w:tc>
          <w:tcPr>
            <w:tcW w:w="8454" w:type="dxa"/>
            <w:gridSpan w:val="2"/>
          </w:tcPr>
          <w:p w14:paraId="034A5FC9" w14:textId="1040214B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0749F9B7" w14:textId="3BFD8F30" w:rsidR="00ED76E5" w:rsidRDefault="00ED76E5" w:rsidP="008A6047">
            <w:pPr>
              <w:rPr>
                <w:sz w:val="22"/>
                <w:szCs w:val="22"/>
              </w:rPr>
            </w:pPr>
          </w:p>
          <w:p w14:paraId="1B92E2B4" w14:textId="3AA548E7" w:rsidR="00D6078A" w:rsidRPr="008A6047" w:rsidRDefault="00ED76E5" w:rsidP="008A6047">
            <w:pPr>
              <w:rPr>
                <w:sz w:val="22"/>
                <w:szCs w:val="22"/>
              </w:rPr>
            </w:pPr>
            <w:r w:rsidRPr="00ED76E5">
              <w:rPr>
                <w:sz w:val="22"/>
                <w:szCs w:val="22"/>
              </w:rPr>
              <w:t>It is necessary to include an additional column with the baseline that allows to see the progression of the indicator</w:t>
            </w:r>
            <w:r w:rsidR="005B6468">
              <w:rPr>
                <w:sz w:val="22"/>
                <w:szCs w:val="22"/>
              </w:rPr>
              <w:t xml:space="preserve"> and a column to provide further information</w:t>
            </w:r>
            <w:r w:rsidR="006D4D42">
              <w:rPr>
                <w:sz w:val="22"/>
                <w:szCs w:val="22"/>
              </w:rPr>
              <w:t xml:space="preserve"> for a more </w:t>
            </w:r>
            <w:proofErr w:type="gramStart"/>
            <w:r w:rsidR="006D4D42">
              <w:rPr>
                <w:sz w:val="22"/>
                <w:szCs w:val="22"/>
              </w:rPr>
              <w:t>in depth</w:t>
            </w:r>
            <w:proofErr w:type="gramEnd"/>
            <w:r w:rsidR="006D4D42">
              <w:rPr>
                <w:sz w:val="22"/>
                <w:szCs w:val="22"/>
              </w:rPr>
              <w:t xml:space="preserve"> explanation of progress towards the goals if needed</w:t>
            </w:r>
            <w:r w:rsidR="005B6468">
              <w:rPr>
                <w:sz w:val="22"/>
                <w:szCs w:val="22"/>
              </w:rPr>
              <w:t xml:space="preserve"> if needed</w:t>
            </w:r>
            <w:r w:rsidR="00736702">
              <w:rPr>
                <w:sz w:val="22"/>
                <w:szCs w:val="22"/>
              </w:rPr>
              <w:t>.</w:t>
            </w: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1B65DE41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Default="00AE7B80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V. Progress towards the 2030 action targets</w:t>
            </w:r>
          </w:p>
          <w:p w14:paraId="4B30F77B" w14:textId="0EEC1A81" w:rsidR="00AE7B80" w:rsidRPr="000C0B6C" w:rsidRDefault="00AE7B80" w:rsidP="008A6047"/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B547" w14:textId="77777777" w:rsidR="00F015EF" w:rsidRDefault="00F015EF" w:rsidP="00AE7B5B">
      <w:r>
        <w:separator/>
      </w:r>
    </w:p>
  </w:endnote>
  <w:endnote w:type="continuationSeparator" w:id="0">
    <w:p w14:paraId="5EAA849A" w14:textId="77777777" w:rsidR="00F015EF" w:rsidRDefault="00F015EF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5B37" w14:textId="77777777" w:rsidR="00F015EF" w:rsidRDefault="00F015EF" w:rsidP="00AE7B5B">
      <w:r>
        <w:separator/>
      </w:r>
    </w:p>
  </w:footnote>
  <w:footnote w:type="continuationSeparator" w:id="0">
    <w:p w14:paraId="34AABA91" w14:textId="77777777" w:rsidR="00F015EF" w:rsidRDefault="00F015EF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0082"/>
    <w:multiLevelType w:val="hybridMultilevel"/>
    <w:tmpl w:val="3BCE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B2C"/>
    <w:multiLevelType w:val="hybridMultilevel"/>
    <w:tmpl w:val="2F3A13BC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4B2C63"/>
    <w:multiLevelType w:val="hybridMultilevel"/>
    <w:tmpl w:val="40987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7975"/>
    <w:multiLevelType w:val="hybridMultilevel"/>
    <w:tmpl w:val="7F486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DF0"/>
    <w:multiLevelType w:val="hybridMultilevel"/>
    <w:tmpl w:val="CE6ED4F8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42527378">
    <w:abstractNumId w:val="1"/>
  </w:num>
  <w:num w:numId="2" w16cid:durableId="988899324">
    <w:abstractNumId w:val="4"/>
  </w:num>
  <w:num w:numId="3" w16cid:durableId="384572562">
    <w:abstractNumId w:val="0"/>
  </w:num>
  <w:num w:numId="4" w16cid:durableId="886068565">
    <w:abstractNumId w:val="3"/>
  </w:num>
  <w:num w:numId="5" w16cid:durableId="171346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14E0C"/>
    <w:rsid w:val="00043D39"/>
    <w:rsid w:val="00045219"/>
    <w:rsid w:val="00052C30"/>
    <w:rsid w:val="00081009"/>
    <w:rsid w:val="000A5B17"/>
    <w:rsid w:val="000E2569"/>
    <w:rsid w:val="000E6341"/>
    <w:rsid w:val="00111BF9"/>
    <w:rsid w:val="00147758"/>
    <w:rsid w:val="0016656C"/>
    <w:rsid w:val="00207337"/>
    <w:rsid w:val="002159C7"/>
    <w:rsid w:val="00236608"/>
    <w:rsid w:val="0026035D"/>
    <w:rsid w:val="002A3C58"/>
    <w:rsid w:val="002E6D46"/>
    <w:rsid w:val="00305397"/>
    <w:rsid w:val="00377C05"/>
    <w:rsid w:val="003A5641"/>
    <w:rsid w:val="00414EDF"/>
    <w:rsid w:val="00434D7D"/>
    <w:rsid w:val="00435C57"/>
    <w:rsid w:val="004473BD"/>
    <w:rsid w:val="004728C3"/>
    <w:rsid w:val="004961E1"/>
    <w:rsid w:val="004F2963"/>
    <w:rsid w:val="0053632F"/>
    <w:rsid w:val="005558F7"/>
    <w:rsid w:val="005A54A9"/>
    <w:rsid w:val="005B6468"/>
    <w:rsid w:val="005D2880"/>
    <w:rsid w:val="00610682"/>
    <w:rsid w:val="00620946"/>
    <w:rsid w:val="00636433"/>
    <w:rsid w:val="00647F74"/>
    <w:rsid w:val="00656143"/>
    <w:rsid w:val="00691274"/>
    <w:rsid w:val="006D4D42"/>
    <w:rsid w:val="00736702"/>
    <w:rsid w:val="00773531"/>
    <w:rsid w:val="007C1FD2"/>
    <w:rsid w:val="008021C0"/>
    <w:rsid w:val="00870C9A"/>
    <w:rsid w:val="00894894"/>
    <w:rsid w:val="008A6047"/>
    <w:rsid w:val="008C3CD3"/>
    <w:rsid w:val="008D0017"/>
    <w:rsid w:val="008D34B8"/>
    <w:rsid w:val="008E7015"/>
    <w:rsid w:val="00914667"/>
    <w:rsid w:val="00972EC6"/>
    <w:rsid w:val="00975317"/>
    <w:rsid w:val="009A6B72"/>
    <w:rsid w:val="009C30DA"/>
    <w:rsid w:val="009D6F21"/>
    <w:rsid w:val="009F2232"/>
    <w:rsid w:val="009F3020"/>
    <w:rsid w:val="00A238BE"/>
    <w:rsid w:val="00A262C2"/>
    <w:rsid w:val="00A61004"/>
    <w:rsid w:val="00AE7B5B"/>
    <w:rsid w:val="00AE7B80"/>
    <w:rsid w:val="00AE7F55"/>
    <w:rsid w:val="00AF4AD0"/>
    <w:rsid w:val="00B37D87"/>
    <w:rsid w:val="00B51493"/>
    <w:rsid w:val="00B93346"/>
    <w:rsid w:val="00BA59A7"/>
    <w:rsid w:val="00BC0E48"/>
    <w:rsid w:val="00BC32B2"/>
    <w:rsid w:val="00CA5965"/>
    <w:rsid w:val="00D00B27"/>
    <w:rsid w:val="00D452C7"/>
    <w:rsid w:val="00D6078A"/>
    <w:rsid w:val="00D93CCA"/>
    <w:rsid w:val="00DB27DE"/>
    <w:rsid w:val="00DE27B2"/>
    <w:rsid w:val="00EB0322"/>
    <w:rsid w:val="00EB2FBB"/>
    <w:rsid w:val="00ED76E5"/>
    <w:rsid w:val="00F015EF"/>
    <w:rsid w:val="00F446B4"/>
    <w:rsid w:val="00F615C0"/>
    <w:rsid w:val="00F83C1C"/>
    <w:rsid w:val="00FB2415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EB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SEBASTIAN ACOSTA TRIANA</cp:lastModifiedBy>
  <cp:revision>2</cp:revision>
  <dcterms:created xsi:type="dcterms:W3CDTF">2022-05-07T20:43:00Z</dcterms:created>
  <dcterms:modified xsi:type="dcterms:W3CDTF">2022-05-07T20:43:00Z</dcterms:modified>
</cp:coreProperties>
</file>